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52" w:rsidRDefault="00851F52" w:rsidP="00851F5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A7DB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ИТОГИ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СОЦИАЛЬНО-ЭКОНОМИЧЕСКОГО РАЗВИТИЯ МОГИЛЕВСКОЙ ОБЛАСТИ ЗА 2015-2020гг.</w:t>
      </w:r>
    </w:p>
    <w:p w:rsidR="00851F52" w:rsidRPr="009E65A8" w:rsidRDefault="00851F52" w:rsidP="00851F5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Руководством Могилевской области создаются достойные условия для полноценной и комфортной жизни граждан. Проведение системной экономической региональной политики оказывает интегральное воздействие на все факторы экономического роста региона.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Для </w:t>
      </w:r>
      <w:r w:rsidRPr="004B2FCB">
        <w:rPr>
          <w:rFonts w:ascii="Times New Roman" w:eastAsia="Times New Roman" w:hAnsi="Times New Roman"/>
          <w:sz w:val="30"/>
          <w:szCs w:val="30"/>
        </w:rPr>
        <w:t>обеспечени</w:t>
      </w:r>
      <w:r w:rsidRPr="004B2FCB">
        <w:rPr>
          <w:rFonts w:ascii="Times New Roman" w:hAnsi="Times New Roman"/>
          <w:sz w:val="30"/>
          <w:szCs w:val="30"/>
        </w:rPr>
        <w:t>я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сбалансированности экономики</w:t>
      </w:r>
      <w:r w:rsidRPr="004B2FCB">
        <w:rPr>
          <w:rFonts w:ascii="Times New Roman" w:hAnsi="Times New Roman"/>
          <w:sz w:val="30"/>
          <w:szCs w:val="30"/>
        </w:rPr>
        <w:t xml:space="preserve"> в городах и районах Могилевской области реализуются программы социально-экономического развития на 2016–2020 гг., в соответствии с которыми разработан к</w:t>
      </w:r>
      <w:r w:rsidRPr="004B2FCB">
        <w:rPr>
          <w:rFonts w:ascii="Times New Roman" w:eastAsia="Times New Roman" w:hAnsi="Times New Roman"/>
          <w:sz w:val="30"/>
          <w:szCs w:val="30"/>
        </w:rPr>
        <w:t>омплекс мер по решению задач социально-экономического развития городов и районов, главн</w:t>
      </w:r>
      <w:r w:rsidRPr="004B2FCB">
        <w:rPr>
          <w:rFonts w:ascii="Times New Roman" w:hAnsi="Times New Roman"/>
          <w:sz w:val="30"/>
          <w:szCs w:val="30"/>
        </w:rPr>
        <w:t>ой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цель</w:t>
      </w:r>
      <w:r w:rsidRPr="004B2FCB">
        <w:rPr>
          <w:rFonts w:ascii="Times New Roman" w:hAnsi="Times New Roman"/>
          <w:sz w:val="30"/>
          <w:szCs w:val="30"/>
        </w:rPr>
        <w:t>ю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</w:t>
      </w:r>
      <w:r w:rsidRPr="004B2FCB">
        <w:rPr>
          <w:rFonts w:ascii="Times New Roman" w:hAnsi="Times New Roman"/>
          <w:sz w:val="30"/>
          <w:szCs w:val="30"/>
        </w:rPr>
        <w:t>которого является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рост благосостояния и улучшение условий жизни населения на основе совершенствования социально-экономических отношений, инновационного развития и повышения конкурентоспособности экономики город</w:t>
      </w:r>
      <w:r w:rsidRPr="004B2FCB">
        <w:rPr>
          <w:rFonts w:ascii="Times New Roman" w:hAnsi="Times New Roman"/>
          <w:sz w:val="30"/>
          <w:szCs w:val="30"/>
        </w:rPr>
        <w:t>ов и районов</w:t>
      </w:r>
      <w:r w:rsidRPr="004B2FCB">
        <w:rPr>
          <w:rFonts w:ascii="Times New Roman" w:eastAsia="Times New Roman" w:hAnsi="Times New Roman"/>
          <w:sz w:val="30"/>
          <w:szCs w:val="30"/>
        </w:rPr>
        <w:t>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Городами и районами разработаны и реализуются также планы развития, основной целью которых является осуществление ряда структурных преобразований, направленных на рост эффективности экономики регионов, повышение мотивации и результативности труда, достижение финансовой стабильности экономики в целом и ее секторов, улучшение качества и уровня жизни. 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Кроме этого, горрайисполкомами области разработаны и реализуются планы индустриализации городов и районов, в которых определены предпочтительные сектора экономики и территории для реализации проектов индустриализации, сформированы инвестиционные проекты и предложения с учетом инфраструктуры, наличия полезных ископаемых и интересов местных жителей. Их реализация позволит повысить инвестиционную и инновационную привлекательность городов и районов и создать комфортную среды для проживания граждан на соответствующих территориях.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результате реализуемых мер по итогам 4 лет текущей пятилетки областью выполняются задания по экспорту товаров (без учета республиканских организаций, а также нефти и нефтепродуктов) – фактически 159,6 % при задании на 2016-2019 гг. 120,1–123,8 %, экспорту услуг (без учета республиканских организаций – 160,9% при задании 112,8–113,1 %, привлечению прямых иностранных инвестиций на чистой основе (без учета задолженности прямому инвестору за товары, работы, услуги) – 295,6 млн. долларов при задании 272,2 млн. долларов, количеству трудоустроенных граждан на вновь созданные рабочие места за счет создания новых предприятий и производств – 19 231 человек при задании 17 560 человек.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>Необходимым элементом региональной экономической политики является развитие  малого и среднего предпринимательства, что подтверждается увеличением его вклада в экономику области.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Так, удельный вес субъектов малого и среднего предпринимательства (юридических лиц и индивидуальных предпринимателей) Могилевской области в основных экономических показателях развития области вырос: в валовой добавленной стоимости с 22,8 % в 2015 году до 24,8 % в 2018 году, в выручке от реализации продукции, товаров, работ, услуг с 30,6 % до 35,1 %, в средней численности работников с 26,2 % до 28,2 %.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Удельный вес субъектов малого и среднего предпринимательства –юридических лиц вырос: в объеме промышленного производства с 18,2% в 2015 году до 24,1% в 2018 году, в инвестициях в основной капитал – с 32,0% до 39,3%, в экспорте товаров с 21,4% до 32,9%.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Положительную тенденцию имеет удельный вес поступлений, уплачиваемых субъектами малого и среднего предпринимательства в консолидированный бюджет в его общем объеме. В 2015 году он составлял 27,8 %, в 2019 году – 36,9%, в январе-марте 2020 г. – 35,9%.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области реализуются мероприятия, направленные на улучшение деловой среды, содействие развитию субъектов малого и среднего предпринимательства, совершенствование инфраструктуры поддержки малого и среднего предпринимательства, формирование позитивного отношения к предпринимательской инициативе граждан. Для этих целей в области зарегистрировано 13 центров поддержки предпринимательства и 5 инкубаторов малого предпринимательства.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  <w:lang w:val="be-BY"/>
        </w:rPr>
      </w:pPr>
      <w:r w:rsidRPr="004B2FCB">
        <w:rPr>
          <w:rFonts w:ascii="Times New Roman" w:hAnsi="Times New Roman"/>
          <w:sz w:val="30"/>
          <w:szCs w:val="30"/>
          <w:lang w:val="be-BY"/>
        </w:rPr>
        <w:t>Важным объектом государственного регулирования экономики являются инвестиции и инновации. Влияние на активность инвестиционно-инновационного процесса осуществляется непосредственным участием в инвестиционных проектах, стимулированием частных инвестиций в реальном секторе экономики.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Наиболее значимыми инвестиционными проектами</w:t>
      </w:r>
      <w:r w:rsidRPr="004B2FCB">
        <w:rPr>
          <w:rFonts w:ascii="Times New Roman" w:hAnsi="Times New Roman"/>
          <w:iCs/>
          <w:sz w:val="30"/>
          <w:szCs w:val="30"/>
        </w:rPr>
        <w:t>, влияющими на экономику региона, являются</w:t>
      </w:r>
      <w:r w:rsidRPr="004B2FCB">
        <w:rPr>
          <w:rFonts w:ascii="Times New Roman" w:hAnsi="Times New Roman"/>
          <w:sz w:val="30"/>
          <w:szCs w:val="30"/>
        </w:rPr>
        <w:t>: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строительство, организация производства и последующая эксплуатация завода по выпуску ориентировано-стружечных плит (ОСБ) в г. Могилев на территории СЭЗ «Могилев», ИООО «Кроноспан ОСБ» (2013-2021 гг., за период реализации проекта освоено инвестиций на сумму 443,6 млн. рублей, создано 185 рабочих мест);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создание предприятия по производству технического углерода </w:t>
      </w:r>
      <w:r w:rsidRPr="004B2FCB">
        <w:rPr>
          <w:rFonts w:ascii="Times New Roman" w:hAnsi="Times New Roman"/>
          <w:sz w:val="30"/>
          <w:szCs w:val="30"/>
        </w:rPr>
        <w:br/>
        <w:t>в СЭЗ «Могилев» Могилевского района Могилевской области и железнодорожного подъезда к нему, ИООО «Омск Карбон Могилев» (2013-2020 гг., освоено инвестиций 197,8 млн. рублей, или 146,5 % к плановому объему, создано 359 рабочих мест из 465 запланированных);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>модернизация производства в помещении крутильно-ткацкого корпуса по ул. Гришина, 87-3 и в здании отделочного корпуса по ул. Гришина, 87 в г. Могилеве, ОАО «Моготекс» (2018-2020 гг., освоено 38,7 млн. рублей инвестиций, или 71,3 %);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создание объекта «Агропредприятие «Белдан» по производству зерна и датской беконной свинины мощностью 53 000 голов в год вблизи дер. Ветка Белыничского района, ИООО «БОННЕТИ» (2018-2022 гг., освоено инвестиций 50,7 млн. рублей, или 76,8 %, создано 48 запланированных рабочих мест);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строительство свиноводческого комплекса проектной мощностью 24 000 голов в год ОАО «Могилевский мясокомбинат» в районе дер. Перегон Славгородского района (2018-2020 гг., объем освоенных инвестиций – 31,9 млн. рублей, или 67,2 %, предусмотрено создание 57 рабочих мест, из них 7 создано);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расширение промышленного комплекса по производству мяса цыплят бройлеров ЗАО «Серволюкс Агро» (третья очередь) (2014-2020 гг., объем освоенных инвестиций – 38,4 млн. рублей, или 102,6 %, создано 75 рабочих мест из 148 запланированных).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Начата реализация такого приоритетного проекта, как организация нового лесопильного и пеллетного производства в г. Бобруйске, ООО «БР-Вуд» (2019-2021 гг., заявленный объем инвестиций – 21 млн. евро, предусмотрено создание 54 рабочих мест).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Кроме этого, в программе социально-экономического развития области на 2016-2020 гг. обозначен ряд мероприятий, которые реализуются промышленными предприятиями области.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Модернизация ОАО «Белшина» продолжается не один год, реализован ряд инвестиционных проектов. Проведено техническое перевооружение завода массовых шин, крупногабаритных шин. Завершен первый этап модернизации завод сверхкрупнонабаритных шин. Масштабная модернизация позволила с 2013 года внедрить в производство порядка 130 новых типоразмеров шин.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ОАО «Могилевхимволокно» в два этапа реализуется инвестиционный проект по производству полиэфирной продукции. В конце 2018 года в строй введено </w:t>
      </w:r>
      <w:r w:rsidRPr="004B2FCB">
        <w:rPr>
          <w:rFonts w:ascii="Times New Roman" w:eastAsia="Times New Roman" w:hAnsi="Times New Roman"/>
          <w:bCs/>
          <w:sz w:val="30"/>
          <w:szCs w:val="30"/>
        </w:rPr>
        <w:t xml:space="preserve">производство по выпуску полиэфирного волокна способом прямого формования.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4B2FCB">
        <w:rPr>
          <w:rFonts w:ascii="Times New Roman" w:eastAsia="Times New Roman" w:hAnsi="Times New Roman"/>
          <w:bCs/>
          <w:sz w:val="30"/>
          <w:szCs w:val="30"/>
        </w:rPr>
        <w:t xml:space="preserve">В дальнейшем планируется реализация второго этапа инвестиционного проекта, который предусматривает создание крупнотоннажного комплекса по выпуску профильной для предприятия продукции: полиэтилентерефталата, полиэфирных волокон и нитей.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Главным приоритетом научно-технического развития ОАО «Могилевлифтмаш» является освоение в производстве нового поколения лифтового оборудования, которое по своим технико-</w:t>
      </w:r>
      <w:r w:rsidRPr="004B2FCB">
        <w:rPr>
          <w:rFonts w:ascii="Times New Roman" w:eastAsia="Times New Roman" w:hAnsi="Times New Roman"/>
          <w:sz w:val="30"/>
          <w:szCs w:val="30"/>
        </w:rPr>
        <w:lastRenderedPageBreak/>
        <w:t xml:space="preserve">экономическим и потребительским свойствам не уступает лучшим иностранным аналогам.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В настоящее время обществом реализуются два инвестиционных проекта: «Модернизация производства для освоения выпуска лифтов на базе безредукторного привода: лифтов эконом-класса, лифтов бизнес-класса, лифтов для высотного строительства» и «Создание производства эскалаторов поэтажных» (сроки реализации проектов 2016-2020 годы).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Освоение производства эскалаторов поэтажных и траволаторов со степенью локализации не менее 50 %, что послужит увеличению номенклатуры выпуска новой импортозамещающей продукции и расширению рынков сбыта.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Важную роль в развитии региональной экономики, повышении ее конкурентоспособности играет эффективная внешнеэкономическая политика</w:t>
      </w:r>
      <w:r w:rsidRPr="004B2FCB">
        <w:rPr>
          <w:rFonts w:ascii="Times New Roman" w:hAnsi="Times New Roman"/>
          <w:i/>
          <w:sz w:val="30"/>
          <w:szCs w:val="30"/>
        </w:rPr>
        <w:t xml:space="preserve">. </w:t>
      </w:r>
      <w:r w:rsidRPr="004B2FCB">
        <w:rPr>
          <w:rFonts w:ascii="Times New Roman" w:hAnsi="Times New Roman"/>
          <w:sz w:val="30"/>
          <w:szCs w:val="30"/>
        </w:rPr>
        <w:t xml:space="preserve">Так, объем экспорта в целом по области увеличился в 1,3 раза с 1,7 в 2015 году до 2,3 млрд. долларов в 2019 году, по организациям коммунальной и без ведомственной подчиненности в 1,6 раз.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Увеличилось положительное сальдо внешней торговли. Если в 2015 году оно составляло 548,3 млн. долларов, то по итогам 2019 года 776,2 млн. долларов.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Увеличилось и количество субъектов внешнеэкономической деятельности, осуществляющих экспортные поставки, с 712 до 904. 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Отмечается активное вовлечение во внешнеэкономическую деятельность организаций частной формы собственности, которые создают экспортоориентированные производства с привлечением иностранных инвестиций и выпускают продукцию с высокой добавленной стоимостью.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Количество таких организаций–экспортеров возросло с 567 в 2015 году до 781 в 2019 году.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2019 году их удельный вес составил 46,5 % против 32,9 % в 2015 году, суммарный объем их экспорта увеличился почти в 2 раза с 551,5 млн. долларов в 2015 году до 1057,3 млн. долларов по итогам 2019 года.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2015 году Могилевская область осуществляла экспортные поставки в 97 страны, по итогам 2019 года – в 100 стран.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 целью принятия мер оперативного регулирования по сбалансированному развитию экономики региона ежегодно  формируется План мероприятий по импортозамещению Могилевской области.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Всего за последние пять лет (2015-2019 гг.) областью произведено импортозамещающей продукции на сумму 2,6 млрд. долл. США, при этом производство импортозамещающей продукции увеличилось с  411 млн. долл. США в 2015 г. до 630 млн. долл. США в 2019 г.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Удельный вес импортозамещающей продукции в объеме </w:t>
      </w:r>
      <w:r w:rsidRPr="004B2FCB">
        <w:rPr>
          <w:rFonts w:ascii="Times New Roman" w:hAnsi="Times New Roman"/>
          <w:sz w:val="30"/>
          <w:szCs w:val="30"/>
        </w:rPr>
        <w:lastRenderedPageBreak/>
        <w:t xml:space="preserve">промышленного производства области </w:t>
      </w:r>
      <w:r w:rsidRPr="004B2FCB">
        <w:rPr>
          <w:rFonts w:ascii="Times New Roman" w:hAnsi="Times New Roman"/>
          <w:i/>
          <w:sz w:val="30"/>
          <w:szCs w:val="30"/>
        </w:rPr>
        <w:t>(без учета республиканских организаций</w:t>
      </w:r>
      <w:r w:rsidRPr="004B2FCB">
        <w:rPr>
          <w:rFonts w:ascii="Times New Roman" w:hAnsi="Times New Roman"/>
          <w:sz w:val="30"/>
          <w:szCs w:val="30"/>
        </w:rPr>
        <w:t>) увеличился с 21,7 % в 2015 г. до 40,1 % в 2019 г. (или на 18,4 процентного пункта).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Доля поставок импортозамещающей продукции на экспорт увеличилась с 27,6 % в 2015 г. до 52,7 % в 2019 г. (или на 25,1 процентного пункта).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Удельный вес производства импортозамещающей продукции организаций малого и среднего бизнеса в общем объеме импортозамещения увеличился  с 48,0 % за 2015 г. до 69,4 % за 2019 г. (или на 21,4 процентного пункта).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В разрезе предприятий области в направлении выпуска импортозамещающей продукции успешно работают: ОАО «Бабушкина крынка – управляющая компания холдинга «</w:t>
      </w:r>
      <w:r w:rsidRPr="004B2FCB">
        <w:rPr>
          <w:rFonts w:ascii="Times New Roman" w:hAnsi="Times New Roman"/>
          <w:sz w:val="30"/>
          <w:szCs w:val="30"/>
        </w:rPr>
        <w:t xml:space="preserve">Могилевская молочная компания «Бабушкина крынка», ЗАО «Серволюкс Агро», 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СООО «Оазис Групп», </w:t>
      </w:r>
      <w:r w:rsidRPr="004B2FCB">
        <w:rPr>
          <w:rFonts w:ascii="Times New Roman" w:hAnsi="Times New Roman"/>
          <w:sz w:val="30"/>
          <w:szCs w:val="30"/>
        </w:rPr>
        <w:t xml:space="preserve">ИООО «Кроноспан ОСБ», ООО «Кронохем», 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ИЧПУП «Косметическо-парфюмерная фабрика «Сонца», ИООО «Кровельный завод «ТехноНИКОЛЬ», ЗАО «Альтимед» и другие.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Динамичному развитию внешней торговли способствует проводимая системная работа по межрегиональному сотрудничеству.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настоящее время Могилевским облисполкомом заключено более 60 документов о сотрудничестве с регионами зарубежных государств.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Продолжилось развитие межрегиональных связей со странами СНГ, Европейского союза и «дальней дуги».   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Заметно активизировалось сотрудничество с Китаем. Сегодня оно успешно осуществляется с пятью регионами (четырьмя провинциями – Цзянсу, Хэнань, Хунань, Шэньси и городом Тяньцзинь). Благодаря этому значительно увеличился и внешнеторговый оборот Могилевской области и Китая.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Так, в 2019 году внешнеторговый оборот Могилевской области и Китая составил 171,5 млн. долларов США, что почти в 3 раза больше чем в 2015 году. Экспорт товаров в 2019 году по сравнению с 2015 годом вырос в 12,6 раза и составил 26,7 млн. долларов.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Кроме того, отмечается определённый опыт в организации совместных международных мероприятий.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4B2FCB">
        <w:rPr>
          <w:rFonts w:ascii="Times New Roman" w:hAnsi="Times New Roman"/>
          <w:i/>
          <w:sz w:val="30"/>
          <w:szCs w:val="30"/>
        </w:rPr>
        <w:t>Справочно:</w:t>
      </w:r>
      <w:r w:rsidRPr="004B2FCB">
        <w:rPr>
          <w:rFonts w:ascii="Times New Roman" w:hAnsi="Times New Roman"/>
          <w:sz w:val="30"/>
          <w:szCs w:val="30"/>
        </w:rPr>
        <w:t xml:space="preserve">  </w:t>
      </w:r>
      <w:r w:rsidRPr="004B2FCB">
        <w:rPr>
          <w:rFonts w:ascii="Times New Roman" w:hAnsi="Times New Roman"/>
          <w:i/>
          <w:sz w:val="30"/>
          <w:szCs w:val="30"/>
        </w:rPr>
        <w:t>27 сентября 2018 г. в г. Могилеве прошел Белорусско-Китайский бизнес-форум, соорганизатором Форума выступил Департамент коммерции провинции Цзянсу. Также в сентябре 2019 года в области прошла первая Региональная Белорусско-Китайская неделя сотрудничества.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Расширяются связи с регионами России. Только в рамках Форумов регионов Беларуси и России областным исполнительным комитетом заключены документы о сотрудничестве с 15 российскими регионами.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 xml:space="preserve">Проведен ряд мероприятий межрегионального характера, из которых наиболее масштабные это ‒ комплексная презентация Могилевской области на площадке Делового и культурного комплекса Посольства Республики Беларусь в Российской Федерации </w:t>
      </w:r>
      <w:r w:rsidRPr="004B2FCB">
        <w:rPr>
          <w:rFonts w:ascii="Times New Roman" w:hAnsi="Times New Roman"/>
          <w:i/>
          <w:sz w:val="30"/>
          <w:szCs w:val="30"/>
        </w:rPr>
        <w:t>(октябрь 2017 г.)</w:t>
      </w:r>
      <w:r w:rsidRPr="004B2FCB">
        <w:rPr>
          <w:rFonts w:ascii="Times New Roman" w:hAnsi="Times New Roman"/>
          <w:sz w:val="30"/>
          <w:szCs w:val="30"/>
        </w:rPr>
        <w:t xml:space="preserve">; ежегодный международный инвестиционный форум «Мельница успеха»; Форумы регионов Беларуси и России; Форумы регионов  Беларуси и Украины; Форум регионов Беларуси и Узбекистана.  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течение последних лет в области отмечен поступательный рост заработной платы. В 2019 году по отношению к 2015 году реальная заработная плата выросла на 18,2%.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 итогам января-марта 2020 года реальная заработная плата по области выросла к соответствующему периоду прошлого года на 8,5%. Заработная плата за март 2020 года по области составила 971,0 рубль.</w:t>
      </w:r>
    </w:p>
    <w:p w:rsidR="00851F52" w:rsidRPr="004B2FCB" w:rsidRDefault="00851F52" w:rsidP="00851F52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 начала 2015 года по апрель 2020 года оказано содействие в трудоустройстве 121,4 тыс. гражданам, в том числе трудоустроено 78,9 тыс. безработных. </w:t>
      </w:r>
    </w:p>
    <w:p w:rsidR="00851F52" w:rsidRPr="004B2FCB" w:rsidRDefault="00851F52" w:rsidP="00851F52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2016–2019 годах, первом квартале 2020 года на вновь созданные рабочие места за счет создания новых производств и предприятий трудоустроено 20,4 тыс. человек.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4B2FCB">
        <w:rPr>
          <w:rFonts w:ascii="Times New Roman" w:hAnsi="Times New Roman"/>
          <w:color w:val="000000"/>
          <w:sz w:val="30"/>
          <w:szCs w:val="30"/>
        </w:rPr>
        <w:t>Принимаются меры по повышению уровня пенсий, регулярно производятся их перерасчеты в связи с ростом средней заработной платы работников и бюджета прожиточного минимума в среднем на душу населения. Так, средний размер пенсии по возрасту с мая 2020 года  составляет 444,1 руб. и увеличился к январю 2020 г. на 3,4%,  к январю 2016 года - на 65,2%.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последние годы выполнены масштабные работы по строительству, модернизации, реконструкции и ремонту объектов здравоохранения области.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Так, в 2016 году введен в эксплуатацию лечебно-диагностический корпус УЗ «Кричевская центральная районная больница». В 2017 году открыта лаборатория исследования пищевых продуктов на 60 тысяч проводимых исследований в год в г. Могилеве. В 2018 году введены в эксплуатацию операционный корпус в УЗ «Могилевский областной онкологический диспансер» и новый 3-х этажный корпус УЗ «Могилевская городская больница скорой медицинской помощи». В июне 2019 года открыт патоморфологический корпус УЗ «Могилевский областной онкологический диспансер».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УЗ «Могилевская городская больница скорой медицинской помощи» открыты ангиографический кабинет и кабинет лазерной микрохирургии глаза, помещение для работы магнитно-резонансного томографа. Открыт блок краткосрочного пребывания, оснащенный </w:t>
      </w:r>
      <w:r w:rsidRPr="004B2FCB">
        <w:rPr>
          <w:rFonts w:ascii="Times New Roman" w:hAnsi="Times New Roman"/>
          <w:sz w:val="30"/>
          <w:szCs w:val="30"/>
        </w:rPr>
        <w:lastRenderedPageBreak/>
        <w:t xml:space="preserve">самым современным оборудованием и отделение пластической эстетической хирургии. Завершена реконструкция родильного дома больницы.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На протяжении последних 3-х лет активно осуществлено переоснащение медицинским оборудованием учреждений здравоохранения Могилевской области.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Парк автомобилей скорой медицинской помощи  в областном центре за последние годы обновился на 29 единиц автомашин. Только в 2019 году приобретено 12 специализированных автомобилей.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планах – строительство кардиохирургического корпуса в УЗ «Могилевская областная больница».</w:t>
      </w:r>
    </w:p>
    <w:p w:rsidR="00851F52" w:rsidRPr="004B2FCB" w:rsidRDefault="00851F52" w:rsidP="00851F52">
      <w:pPr>
        <w:pStyle w:val="1"/>
        <w:shd w:val="clear" w:color="auto" w:fill="auto"/>
        <w:spacing w:line="240" w:lineRule="auto"/>
        <w:ind w:left="20" w:right="20"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 2015 по 2019 годы и 4 месяца 2020 г. на территории Могилевской области отмечается снижение преступности</w:t>
      </w:r>
      <w:r w:rsidRPr="004B2FCB">
        <w:rPr>
          <w:rStyle w:val="145pt"/>
          <w:rFonts w:ascii="Times New Roman" w:hAnsi="Times New Roman"/>
          <w:sz w:val="30"/>
          <w:szCs w:val="30"/>
        </w:rPr>
        <w:t xml:space="preserve"> (2015 г. - 11103</w:t>
      </w:r>
      <w:r w:rsidRPr="004B2FCB">
        <w:rPr>
          <w:rStyle w:val="145pt"/>
          <w:rFonts w:ascii="Times New Roman" w:hAnsi="Times New Roman"/>
          <w:i w:val="0"/>
          <w:sz w:val="30"/>
          <w:szCs w:val="30"/>
        </w:rPr>
        <w:t xml:space="preserve">,  </w:t>
      </w:r>
      <w:r w:rsidRPr="004B2FCB">
        <w:rPr>
          <w:rStyle w:val="145pt"/>
          <w:rFonts w:ascii="Times New Roman" w:hAnsi="Times New Roman"/>
          <w:sz w:val="30"/>
          <w:szCs w:val="30"/>
        </w:rPr>
        <w:t>2019</w:t>
      </w:r>
      <w:r w:rsidRPr="004B2FCB">
        <w:rPr>
          <w:rFonts w:ascii="Times New Roman" w:hAnsi="Times New Roman"/>
          <w:i/>
          <w:sz w:val="30"/>
          <w:szCs w:val="30"/>
        </w:rPr>
        <w:t xml:space="preserve"> г. - 9900 преступлений</w:t>
      </w:r>
      <w:r w:rsidRPr="004B2FCB">
        <w:rPr>
          <w:rFonts w:ascii="Times New Roman" w:hAnsi="Times New Roman"/>
          <w:sz w:val="30"/>
          <w:szCs w:val="30"/>
        </w:rPr>
        <w:t>).</w:t>
      </w:r>
    </w:p>
    <w:p w:rsidR="00851F52" w:rsidRPr="004B2FCB" w:rsidRDefault="00851F52" w:rsidP="00851F52">
      <w:pPr>
        <w:pStyle w:val="40"/>
        <w:shd w:val="clear" w:color="auto" w:fill="auto"/>
        <w:spacing w:line="240" w:lineRule="auto"/>
        <w:ind w:left="20" w:right="20" w:firstLine="720"/>
        <w:rPr>
          <w:rFonts w:ascii="Times New Roman" w:hAnsi="Times New Roman"/>
          <w:sz w:val="30"/>
          <w:szCs w:val="30"/>
        </w:rPr>
      </w:pPr>
      <w:r w:rsidRPr="004B2FCB">
        <w:rPr>
          <w:rStyle w:val="414pt"/>
          <w:rFonts w:ascii="Times New Roman" w:hAnsi="Times New Roman"/>
          <w:i w:val="0"/>
          <w:sz w:val="30"/>
          <w:szCs w:val="30"/>
        </w:rPr>
        <w:t>Меньше совершено преступлений на 10 тысяч населения</w:t>
      </w:r>
      <w:r w:rsidRPr="004B2FCB">
        <w:rPr>
          <w:rFonts w:ascii="Times New Roman" w:hAnsi="Times New Roman"/>
          <w:sz w:val="30"/>
          <w:szCs w:val="30"/>
        </w:rPr>
        <w:t xml:space="preserve"> </w:t>
      </w:r>
      <w:r w:rsidRPr="004B2FCB">
        <w:rPr>
          <w:rFonts w:ascii="Times New Roman" w:hAnsi="Times New Roman"/>
          <w:i/>
          <w:sz w:val="30"/>
          <w:szCs w:val="30"/>
        </w:rPr>
        <w:t>(2015 г. - 103,6; 2019 г. – 93,8 преступлений)</w:t>
      </w:r>
      <w:r w:rsidRPr="004B2FCB">
        <w:rPr>
          <w:rFonts w:ascii="Times New Roman" w:hAnsi="Times New Roman"/>
          <w:sz w:val="30"/>
          <w:szCs w:val="30"/>
        </w:rPr>
        <w:t>, преступлений по линии наркоконтроля и противодействия торговле людьми</w:t>
      </w:r>
      <w:r w:rsidRPr="004B2FCB">
        <w:rPr>
          <w:rStyle w:val="145pt"/>
          <w:rFonts w:ascii="Times New Roman" w:hAnsi="Times New Roman"/>
          <w:sz w:val="30"/>
          <w:szCs w:val="30"/>
        </w:rPr>
        <w:t xml:space="preserve"> (2015 г. - 837; 2019 г. - 604).</w:t>
      </w:r>
    </w:p>
    <w:p w:rsidR="00851F52" w:rsidRPr="004B2FCB" w:rsidRDefault="00851F52" w:rsidP="00851F52">
      <w:pPr>
        <w:pStyle w:val="40"/>
        <w:shd w:val="clear" w:color="auto" w:fill="auto"/>
        <w:spacing w:line="240" w:lineRule="auto"/>
        <w:ind w:right="20" w:firstLine="720"/>
        <w:rPr>
          <w:rFonts w:ascii="Times New Roman" w:hAnsi="Times New Roman"/>
          <w:sz w:val="30"/>
          <w:szCs w:val="30"/>
        </w:rPr>
      </w:pPr>
      <w:r w:rsidRPr="004B2FCB">
        <w:rPr>
          <w:rStyle w:val="414pt"/>
          <w:rFonts w:ascii="Times New Roman" w:hAnsi="Times New Roman"/>
          <w:i w:val="0"/>
          <w:sz w:val="30"/>
          <w:szCs w:val="30"/>
        </w:rPr>
        <w:t>С 2015 года уменьшилось количество ДТП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</w:t>
      </w:r>
      <w:r w:rsidRPr="004B2FCB">
        <w:rPr>
          <w:rStyle w:val="414pt"/>
          <w:rFonts w:ascii="Times New Roman" w:hAnsi="Times New Roman"/>
          <w:i w:val="0"/>
          <w:sz w:val="30"/>
          <w:szCs w:val="30"/>
        </w:rPr>
        <w:t>(</w:t>
      </w:r>
      <w:r w:rsidRPr="004B2FCB">
        <w:rPr>
          <w:rFonts w:ascii="Times New Roman" w:hAnsi="Times New Roman"/>
          <w:i/>
          <w:sz w:val="30"/>
          <w:szCs w:val="30"/>
        </w:rPr>
        <w:t>2015 г. - 579; 2019 г. - 412)</w:t>
      </w:r>
      <w:r w:rsidRPr="004B2FCB">
        <w:rPr>
          <w:rFonts w:ascii="Times New Roman" w:hAnsi="Times New Roman"/>
          <w:sz w:val="30"/>
          <w:szCs w:val="30"/>
        </w:rPr>
        <w:t>,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</w:t>
      </w:r>
      <w:r w:rsidRPr="004B2FCB">
        <w:rPr>
          <w:rStyle w:val="414pt"/>
          <w:rFonts w:ascii="Times New Roman" w:hAnsi="Times New Roman"/>
          <w:i w:val="0"/>
          <w:sz w:val="30"/>
          <w:szCs w:val="30"/>
        </w:rPr>
        <w:t>погибших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</w:t>
      </w:r>
      <w:r w:rsidRPr="004B2FCB">
        <w:rPr>
          <w:rFonts w:ascii="Times New Roman" w:hAnsi="Times New Roman"/>
          <w:i/>
          <w:sz w:val="30"/>
          <w:szCs w:val="30"/>
        </w:rPr>
        <w:t xml:space="preserve">(2015 г. - 92; 2019 г. - 52). 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</w:t>
      </w:r>
    </w:p>
    <w:p w:rsidR="00851F52" w:rsidRPr="004B2FCB" w:rsidRDefault="00851F52" w:rsidP="00851F52">
      <w:pPr>
        <w:pStyle w:val="newncpi"/>
        <w:rPr>
          <w:sz w:val="30"/>
          <w:szCs w:val="30"/>
        </w:rPr>
      </w:pPr>
      <w:r w:rsidRPr="004B2FCB">
        <w:rPr>
          <w:sz w:val="30"/>
          <w:szCs w:val="30"/>
        </w:rPr>
        <w:t>Результаты работы торговли области в 2016 – 1 квартале 2020 года характеризуются динамичным развитием внутреннего потребительского рынка. В</w:t>
      </w:r>
      <w:r w:rsidRPr="004B2FCB">
        <w:rPr>
          <w:color w:val="000000"/>
          <w:sz w:val="30"/>
          <w:szCs w:val="30"/>
        </w:rPr>
        <w:t xml:space="preserve"> области наблюдается </w:t>
      </w:r>
      <w:r w:rsidRPr="004B2FCB">
        <w:rPr>
          <w:sz w:val="30"/>
          <w:szCs w:val="30"/>
        </w:rPr>
        <w:t xml:space="preserve">стабильная ситуация по обеспечению насыщенности потребительского рынка, бесперебойному наличию в нем товаров. </w:t>
      </w:r>
    </w:p>
    <w:p w:rsidR="00851F52" w:rsidRPr="004B2FCB" w:rsidRDefault="00851F52" w:rsidP="00851F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условиях ценовой стабильности, роста доходов населения за 2016 – 1 квартал 2020 года обеспечен темп роста розничного товарооборота в целом по области 116,7% в сопоставимых ценах. </w:t>
      </w:r>
    </w:p>
    <w:p w:rsidR="00851F52" w:rsidRPr="004B2FCB" w:rsidRDefault="00851F52" w:rsidP="00851F52">
      <w:pPr>
        <w:pStyle w:val="newncpi"/>
        <w:rPr>
          <w:sz w:val="30"/>
          <w:szCs w:val="30"/>
        </w:rPr>
      </w:pPr>
      <w:r w:rsidRPr="004B2FCB">
        <w:rPr>
          <w:sz w:val="30"/>
          <w:szCs w:val="30"/>
        </w:rPr>
        <w:t xml:space="preserve">По данным Торгового реестра Республики Беларусь, за период с 2016 – 1 квартал 2020 года количество объектов розничной торговли увеличилось на 2302 единицы и составило 13794. Показатель обеспеченности населения торговыми площадями в целом по области увеличился до 747,6 кв.м. на 1 тыс. жителей при нормативе – 600 кв. м. на 1 тыс. жителей. </w:t>
      </w:r>
    </w:p>
    <w:p w:rsidR="00851F52" w:rsidRPr="004B2FCB" w:rsidRDefault="00851F52" w:rsidP="00851F5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Развитие потребительского рынка области в 2021-2025 годы будет направлено на удовлетворение платежеспособного спроса населения на потребительские товары с высоким уровнем качества и по доступным ценам, в т.ч. посредством совершенствования инфраструктуры торговли и ее цифровизации.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851F52" w:rsidRPr="004B2FCB" w:rsidRDefault="00851F52" w:rsidP="00851F52">
      <w:pPr>
        <w:pStyle w:val="Style4"/>
        <w:widowControl/>
        <w:ind w:firstLine="715"/>
        <w:jc w:val="both"/>
        <w:rPr>
          <w:sz w:val="30"/>
          <w:szCs w:val="30"/>
        </w:rPr>
      </w:pPr>
      <w:r w:rsidRPr="004B2FCB">
        <w:rPr>
          <w:sz w:val="30"/>
          <w:szCs w:val="30"/>
        </w:rPr>
        <w:t>В целях обеспечения целевого индикатора по розничному товарообороту в области продолжат свое развитие:</w:t>
      </w:r>
    </w:p>
    <w:p w:rsidR="00851F52" w:rsidRPr="004B2FCB" w:rsidRDefault="00851F52" w:rsidP="00851F5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ab/>
        <w:t>торговая инфраструктура за счет увеличения розничных торговых объектов;</w:t>
      </w:r>
    </w:p>
    <w:p w:rsidR="00851F52" w:rsidRPr="004B2FCB" w:rsidRDefault="00851F52" w:rsidP="00851F5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 xml:space="preserve">внемагазинные формы продаж (интернет – торговля, торговля по образцам с использованием электронных платежных инструментов и средств платежа); </w:t>
      </w:r>
    </w:p>
    <w:p w:rsidR="00851F52" w:rsidRPr="004B2FCB" w:rsidRDefault="00851F52" w:rsidP="00851F5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современные формы обслуживания (бесконтактные и мобильные платежи, автоматизированные расчеты за покупки при помощи электронных устройств и пр.).</w:t>
      </w:r>
    </w:p>
    <w:p w:rsidR="00851F52" w:rsidRPr="004B2FCB" w:rsidRDefault="00851F52" w:rsidP="00851F5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Совершенствование торговой сети будет осуществляться как за счет многоформатной торговой инфраструктуры с предоставлением различного рода дополнительных услуг (парикмахерских, услуг по ремонту одежды и обуви и др.), так и путем развития магазинов шаговой доступности, стрит-ритейла.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bCs/>
          <w:sz w:val="30"/>
          <w:szCs w:val="30"/>
        </w:rPr>
        <w:t xml:space="preserve">Развитие сферы общественного питания </w:t>
      </w:r>
      <w:r w:rsidRPr="004B2FCB">
        <w:rPr>
          <w:rFonts w:ascii="Times New Roman" w:hAnsi="Times New Roman"/>
          <w:sz w:val="30"/>
          <w:szCs w:val="30"/>
        </w:rPr>
        <w:t xml:space="preserve">будет направлено на </w:t>
      </w:r>
      <w:r w:rsidRPr="004B2FCB">
        <w:rPr>
          <w:rFonts w:ascii="Times New Roman" w:hAnsi="Times New Roman"/>
          <w:bCs/>
          <w:sz w:val="30"/>
          <w:szCs w:val="30"/>
        </w:rPr>
        <w:t xml:space="preserve"> совершенствование материально – технической базы существующих, а также </w:t>
      </w:r>
      <w:r w:rsidRPr="004B2FCB">
        <w:rPr>
          <w:rFonts w:ascii="Times New Roman" w:hAnsi="Times New Roman"/>
          <w:sz w:val="30"/>
          <w:szCs w:val="30"/>
        </w:rPr>
        <w:t xml:space="preserve">создание реальной конкурентной среды на рынке услуг питания за счет развития сети объектов общественного питания и совершенствования ее структуры, с учетом либерализации условий ведения ресторанного бизнеса, </w:t>
      </w:r>
      <w:r w:rsidRPr="004B2FCB">
        <w:rPr>
          <w:rFonts w:ascii="Times New Roman" w:hAnsi="Times New Roman"/>
          <w:bCs/>
          <w:sz w:val="30"/>
          <w:szCs w:val="30"/>
        </w:rPr>
        <w:t>открытия новых объектов общественного питания</w:t>
      </w:r>
      <w:r w:rsidRPr="004B2FCB">
        <w:rPr>
          <w:rFonts w:ascii="Times New Roman" w:hAnsi="Times New Roman"/>
          <w:sz w:val="30"/>
          <w:szCs w:val="30"/>
        </w:rPr>
        <w:t xml:space="preserve"> различного формата, в том числе </w:t>
      </w:r>
      <w:r w:rsidRPr="004B2FCB">
        <w:rPr>
          <w:rFonts w:ascii="Times New Roman" w:hAnsi="Times New Roman"/>
          <w:bCs/>
          <w:sz w:val="30"/>
          <w:szCs w:val="30"/>
        </w:rPr>
        <w:t xml:space="preserve">объектов быстрого обслуживания (кофейни, мини-кафе, рестораны быстрого обслуживания), </w:t>
      </w:r>
      <w:r w:rsidRPr="004B2FCB">
        <w:rPr>
          <w:rFonts w:ascii="Times New Roman" w:hAnsi="Times New Roman"/>
          <w:sz w:val="30"/>
          <w:szCs w:val="30"/>
        </w:rPr>
        <w:t>включения в меню национальных блюд, основанных на традициях белорусской национальной кухни. Дальнейшее развитие получит организация работы по доставке продукции собственного производства по  заказам потребителей с использованием интернет-сети, развитие кейтеринговых услуг.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Могилевская область вносит весомый вклад </w:t>
      </w:r>
      <w:r>
        <w:rPr>
          <w:rFonts w:ascii="Times New Roman" w:hAnsi="Times New Roman"/>
          <w:sz w:val="30"/>
          <w:szCs w:val="30"/>
        </w:rPr>
        <w:t xml:space="preserve"> и </w:t>
      </w:r>
      <w:r w:rsidRPr="004B2FCB">
        <w:rPr>
          <w:rFonts w:ascii="Times New Roman" w:hAnsi="Times New Roman"/>
          <w:sz w:val="30"/>
          <w:szCs w:val="30"/>
        </w:rPr>
        <w:t>в развитие олим</w:t>
      </w:r>
      <w:r w:rsidRPr="004B2FCB">
        <w:rPr>
          <w:rFonts w:ascii="Times New Roman" w:hAnsi="Times New Roman"/>
          <w:sz w:val="30"/>
          <w:szCs w:val="30"/>
        </w:rPr>
        <w:softHyphen/>
        <w:t>пийского движения. В 2016 году на летних Олимпийских играх 2016 года в Рио-де-Жанейро завоевано 2 серебряные медали - Вадим Стрельцов и Дарья Наумова (тяжелая атлетика). На Паралимпийских играх в Рио-де-Жанейро Игорь Бокий завоевал 6 золотых и 1 бронзовую медаль, установив шесть паралимпийских и два мировых рекорда (плавание - инваспорт).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2018 году на зимних Олимпийских играх в Пхенчхане победителем стала Динара Алимбекова (биатлон). Юрий Голуб завоевал одну золотую, две серебряных и одну бронзовую медали на Паралимпиаде (инваспорт- биатлон, лыжные гонки).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color w:val="000000"/>
          <w:sz w:val="30"/>
          <w:szCs w:val="30"/>
        </w:rPr>
        <w:t xml:space="preserve">В 2019 году на </w:t>
      </w:r>
      <w:r w:rsidRPr="004B2FCB">
        <w:rPr>
          <w:rFonts w:ascii="Times New Roman" w:hAnsi="Times New Roman"/>
          <w:color w:val="000000"/>
          <w:sz w:val="30"/>
          <w:szCs w:val="30"/>
          <w:lang w:val="en-US"/>
        </w:rPr>
        <w:t>II</w:t>
      </w:r>
      <w:r w:rsidRPr="004B2FCB">
        <w:rPr>
          <w:rFonts w:ascii="Times New Roman" w:hAnsi="Times New Roman"/>
          <w:color w:val="000000"/>
          <w:sz w:val="30"/>
          <w:szCs w:val="30"/>
        </w:rPr>
        <w:t xml:space="preserve"> Европейских играх спортсменами Могилевщины завоевано 10 - медалей (на </w:t>
      </w:r>
      <w:r w:rsidRPr="004B2FCB">
        <w:rPr>
          <w:rFonts w:ascii="Times New Roman" w:hAnsi="Times New Roman"/>
          <w:color w:val="000000"/>
          <w:sz w:val="30"/>
          <w:szCs w:val="30"/>
          <w:lang w:val="en-US"/>
        </w:rPr>
        <w:t>I</w:t>
      </w:r>
      <w:r w:rsidRPr="004B2FCB">
        <w:rPr>
          <w:rFonts w:ascii="Times New Roman" w:hAnsi="Times New Roman"/>
          <w:color w:val="000000"/>
          <w:sz w:val="30"/>
          <w:szCs w:val="30"/>
        </w:rPr>
        <w:t xml:space="preserve"> Европейских играх - 6).</w:t>
      </w:r>
      <w:r w:rsidRPr="004B2FCB">
        <w:rPr>
          <w:rFonts w:ascii="Times New Roman" w:hAnsi="Times New Roman"/>
          <w:sz w:val="30"/>
          <w:szCs w:val="30"/>
        </w:rPr>
        <w:t xml:space="preserve"> 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Спортсменами Могилевской области на чемпионатах, Кубках и первенствах мира и Европы за олимпийский цикл 2013-2016 годов завоевано 424 медали различного достоинства, за олимпийский цикл </w:t>
      </w:r>
      <w:r w:rsidRPr="004B2FCB">
        <w:rPr>
          <w:rFonts w:ascii="Times New Roman" w:hAnsi="Times New Roman"/>
          <w:sz w:val="30"/>
          <w:szCs w:val="30"/>
        </w:rPr>
        <w:lastRenderedPageBreak/>
        <w:t xml:space="preserve">2017-2020 годов в настоящее время завоевано 407 медалей,  в том числе в 2019 году - 142 медалей различного достоинства, из них 105 - по олимпийским видам спорта.  Это лучший показатель за последние 20 лет. </w:t>
      </w:r>
    </w:p>
    <w:p w:rsidR="00851F52" w:rsidRPr="004B2FCB" w:rsidRDefault="00851F52" w:rsidP="00851F52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2015-2019 годах велась работа по совершенствованию материальной базы физкультурно-спортивной отрасли области.</w:t>
      </w:r>
    </w:p>
    <w:p w:rsidR="00851F52" w:rsidRPr="004B2FCB" w:rsidRDefault="00851F52" w:rsidP="00851F52">
      <w:pPr>
        <w:spacing w:after="0" w:line="240" w:lineRule="auto"/>
        <w:ind w:firstLine="705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2015 году проведена реконструкция зала борьбы СДЮШОР №3 и зала тяжелой атлетики СДЮШОР «Спартак-2005» в г. Могилеве, зала борьбы ДЮСШ №3 и 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стадиона имени Александра Прокопенко в </w:t>
      </w:r>
      <w:r w:rsidRPr="004B2FCB">
        <w:rPr>
          <w:rFonts w:ascii="Times New Roman" w:hAnsi="Times New Roman"/>
          <w:sz w:val="30"/>
          <w:szCs w:val="30"/>
        </w:rPr>
        <w:t>г.Бобруйске. В 2016 году завершена реконструкция спортивного комплекса в г.Быхове (спортзал), введена в строй ледовая арена в г.Шклове и физкультурно-спортивный комплекс в г.п.Краснополье. В 2017 году введен в строй физкультурно-спортивный комплекс в г.Костюковичи. Завершена реконструкция бассейна в г.Глуске. Введен в эксплуатацию бассейн, тренажерный и 2 спортивных зала в средней школе г.Кричева. В 2018 году введен в эксплуатацию физкультурно-оздоровительный центр «Жемчужина» в г.Осиповичи,  бассейн, 2 тренажерных и 2 спортивных зала в средней школе г.Бобруйска. В 2019  году з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авершено строительство футбольного манежа и реконструкция </w:t>
      </w:r>
      <w:r w:rsidRPr="004B2FCB">
        <w:rPr>
          <w:rFonts w:ascii="Times New Roman" w:hAnsi="Times New Roman"/>
          <w:sz w:val="30"/>
          <w:szCs w:val="30"/>
        </w:rPr>
        <w:t>«</w:t>
      </w:r>
      <w:r w:rsidRPr="004B2FCB">
        <w:rPr>
          <w:rFonts w:ascii="Times New Roman" w:hAnsi="Times New Roman"/>
          <w:sz w:val="30"/>
          <w:szCs w:val="30"/>
          <w:lang w:val="be-BY"/>
        </w:rPr>
        <w:t>Космос-корта</w:t>
      </w:r>
      <w:r w:rsidRPr="004B2FCB">
        <w:rPr>
          <w:rFonts w:ascii="Times New Roman" w:hAnsi="Times New Roman"/>
          <w:sz w:val="30"/>
          <w:szCs w:val="30"/>
        </w:rPr>
        <w:t xml:space="preserve">», </w:t>
      </w:r>
      <w:r w:rsidRPr="004B2FCB">
        <w:rPr>
          <w:rFonts w:ascii="Times New Roman" w:hAnsi="Times New Roman"/>
          <w:sz w:val="30"/>
          <w:szCs w:val="30"/>
          <w:lang w:val="be-BY"/>
        </w:rPr>
        <w:t>в</w:t>
      </w:r>
      <w:r w:rsidRPr="004B2FCB">
        <w:rPr>
          <w:rFonts w:ascii="Times New Roman" w:hAnsi="Times New Roman"/>
          <w:sz w:val="30"/>
          <w:szCs w:val="30"/>
        </w:rPr>
        <w:t xml:space="preserve">ведены в эксплуатацию 2 тренажерных и  спортивный зал в средней школе 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в Могилеве. </w:t>
      </w:r>
      <w:r w:rsidRPr="004B2FCB">
        <w:rPr>
          <w:rFonts w:ascii="Times New Roman" w:hAnsi="Times New Roman"/>
          <w:sz w:val="30"/>
          <w:szCs w:val="30"/>
        </w:rPr>
        <w:t>Проведена реконструкция городского стадиона в Глуске.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Проведена значительная работа по укреплению материально-технической базы организаций сферы культуры.</w:t>
      </w:r>
    </w:p>
    <w:p w:rsidR="00851F52" w:rsidRPr="004B2FCB" w:rsidRDefault="00851F52" w:rsidP="00851F5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4B2FCB">
        <w:rPr>
          <w:rFonts w:ascii="Times New Roman" w:hAnsi="Times New Roman"/>
          <w:sz w:val="30"/>
          <w:szCs w:val="30"/>
        </w:rPr>
        <w:t xml:space="preserve">В 2016 году введено в эксплуатацию здание районного Дома культуры в г. Черикове. В 2017 году проведена реконструкция зданий районного Дома культуры и детской школы искусств г. Кличева. </w:t>
      </w:r>
      <w:r w:rsidRPr="004B2FCB">
        <w:rPr>
          <w:rFonts w:ascii="Times New Roman" w:hAnsi="Times New Roman"/>
          <w:sz w:val="30"/>
          <w:szCs w:val="30"/>
          <w:shd w:val="clear" w:color="auto" w:fill="FFFFFF"/>
        </w:rPr>
        <w:t xml:space="preserve">В 2018 году в г.Могилеве выполнены масштабные работы по капитальному ремонту здания Дворца культуры области в г.Могилеве, реконструирован музей В.К.Бялыницкого-Бирули, открыты 3 новых корпуса детских школ искусств. В 2019 году открыты и введены в эксплуатацию после реконструкции здание районного Дома культуры в г.Чаусы, Центр культуры и досуга в г.п.Глуске. 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За последние годы в городах Могилеве и Бобруйске построены </w:t>
      </w:r>
      <w:r w:rsidRPr="004B2FCB">
        <w:rPr>
          <w:rFonts w:ascii="Times New Roman" w:hAnsi="Times New Roman"/>
          <w:sz w:val="30"/>
          <w:szCs w:val="30"/>
        </w:rPr>
        <w:br/>
        <w:t>пять детских садов на 1055 мест. В 2019 году завершено строительство детского сада на 40 мест в аг. Добрейка Шкловского района, проведена реконструкция яслей-сада в аг. Восход Могилевского района.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Введены в эксплуатацию четыре средние школы по 1020 мест в микрорайонах «Комсомольский» г.Кричева, «Западный» г.Бобруйска, «Спутник» и «Казимировка» г.Могилева. Осуществлено строительство пристройки к средней школе № 1 г.Славгорода с реконструкцией существующей. </w:t>
      </w:r>
    </w:p>
    <w:p w:rsidR="00851F52" w:rsidRPr="004B2FCB" w:rsidRDefault="00851F52" w:rsidP="00851F5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 xml:space="preserve">В области принимаются меры по обеспечению доступности дошкольного образования. Возвращены в сеть дошкольного образования пять зданий и сооружений, эксплуатировавшихся не по назначению.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Всего за период с 2015 года 2019 год введено в эксплуатацию (реконструированы либо вновь построены) 25 крупных социально-значимых объектов различных сфер (здравоохранение, образование культура, спорт), финансирование которых осуществлялось за счет средств Инвестиционной программы Могилевской области, еще 9 объектов планируется ввести в эксплуатацию в 2020-2021годах.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качестве ключевых задач социально-экономического развития Могилевской области на ближайшую пятилетку определены: 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поддержание внутренней сбалансированности экономики на основе соблюдения принципа повышения заработной платы в меру роста производительности труда;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обеспечение роста экспорта услуг темпами, опережающими экспорт товаров;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вовлечение малого и среднего бизнеса в сферу создания новых высокотехнологичных производств;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реструктуризация и финансовое оздоровление неплатежеспособных организаций;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рациональное размещение производительных сил в регионах, обеспечивающее сокращение межрегиональной дифференциации в уровне и качестве жизни населения, с учетом конкурентных преимуществ и накопленных территориальных компетенций;</w:t>
      </w:r>
    </w:p>
    <w:p w:rsidR="00851F52" w:rsidRPr="004B2FCB" w:rsidRDefault="00851F52" w:rsidP="00851F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развитие районов, отстающих по уровню социально-экономического развития, в том числе за счет модернизации существующих и создания новых предприятий и производств, стимулирования и поддержки предпринимательской активности местной инициативы.</w:t>
      </w:r>
    </w:p>
    <w:p w:rsidR="00851F52" w:rsidRDefault="00851F52" w:rsidP="00851F52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R="00851F52" w:rsidRDefault="00851F52" w:rsidP="00851F52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 xml:space="preserve">Материал подготовлен на основании информаций, </w:t>
      </w:r>
    </w:p>
    <w:p w:rsidR="00851F52" w:rsidRDefault="00851F52" w:rsidP="00851F52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>представленны</w:t>
      </w:r>
      <w:r>
        <w:rPr>
          <w:rFonts w:ascii="Times New Roman" w:hAnsi="Times New Roman"/>
          <w:i/>
          <w:sz w:val="30"/>
          <w:szCs w:val="30"/>
        </w:rPr>
        <w:t>х</w:t>
      </w:r>
      <w:r w:rsidRPr="009E65A8">
        <w:rPr>
          <w:rFonts w:ascii="Times New Roman" w:hAnsi="Times New Roman"/>
          <w:i/>
          <w:sz w:val="30"/>
          <w:szCs w:val="30"/>
        </w:rPr>
        <w:t xml:space="preserve"> структурными </w:t>
      </w:r>
    </w:p>
    <w:p w:rsidR="00851F52" w:rsidRPr="009E65A8" w:rsidRDefault="00851F52" w:rsidP="00851F52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>подразделениями облисполкома</w:t>
      </w:r>
    </w:p>
    <w:p w:rsidR="00851F52" w:rsidRPr="001A7DBC" w:rsidRDefault="00851F52" w:rsidP="00851F52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851F52" w:rsidRPr="001A7DBC" w:rsidRDefault="00851F52" w:rsidP="00851F5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851F52" w:rsidRDefault="00851F52" w:rsidP="00851F5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851F52" w:rsidRDefault="00851F52" w:rsidP="00851F5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0E7DE8" w:rsidRDefault="000E7DE8"/>
    <w:sectPr w:rsidR="000E7DE8" w:rsidSect="000E7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51F52"/>
    <w:rsid w:val="000E7DE8"/>
    <w:rsid w:val="00851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F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51F5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51F52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rsid w:val="00851F52"/>
    <w:rPr>
      <w:sz w:val="28"/>
      <w:szCs w:val="28"/>
      <w:shd w:val="clear" w:color="auto" w:fill="FFFFFF"/>
    </w:rPr>
  </w:style>
  <w:style w:type="character" w:customStyle="1" w:styleId="145pt">
    <w:name w:val="Основной текст + 14;5 pt;Курсив"/>
    <w:basedOn w:val="a5"/>
    <w:rsid w:val="00851F52"/>
    <w:rPr>
      <w:i/>
      <w:iCs/>
      <w:sz w:val="29"/>
      <w:szCs w:val="29"/>
    </w:rPr>
  </w:style>
  <w:style w:type="character" w:customStyle="1" w:styleId="4">
    <w:name w:val="Основной текст (4)_"/>
    <w:basedOn w:val="a0"/>
    <w:link w:val="40"/>
    <w:rsid w:val="00851F52"/>
    <w:rPr>
      <w:sz w:val="29"/>
      <w:szCs w:val="29"/>
      <w:shd w:val="clear" w:color="auto" w:fill="FFFFFF"/>
    </w:rPr>
  </w:style>
  <w:style w:type="character" w:customStyle="1" w:styleId="414pt">
    <w:name w:val="Основной текст (4) + 14 pt;Не курсив"/>
    <w:basedOn w:val="4"/>
    <w:rsid w:val="00851F52"/>
    <w:rPr>
      <w:i/>
      <w:iCs/>
      <w:sz w:val="28"/>
      <w:szCs w:val="28"/>
    </w:rPr>
  </w:style>
  <w:style w:type="paragraph" w:customStyle="1" w:styleId="1">
    <w:name w:val="Основной текст1"/>
    <w:basedOn w:val="a"/>
    <w:link w:val="a5"/>
    <w:rsid w:val="00851F52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40">
    <w:name w:val="Основной текст (4)"/>
    <w:basedOn w:val="a"/>
    <w:link w:val="4"/>
    <w:rsid w:val="00851F52"/>
    <w:pPr>
      <w:shd w:val="clear" w:color="auto" w:fill="FFFFFF"/>
      <w:spacing w:after="0" w:line="341" w:lineRule="exact"/>
      <w:jc w:val="both"/>
    </w:pPr>
    <w:rPr>
      <w:rFonts w:asciiTheme="minorHAnsi" w:eastAsiaTheme="minorHAnsi" w:hAnsiTheme="minorHAnsi" w:cstheme="minorBidi"/>
      <w:sz w:val="29"/>
      <w:szCs w:val="29"/>
    </w:rPr>
  </w:style>
  <w:style w:type="paragraph" w:customStyle="1" w:styleId="Style4">
    <w:name w:val="Style4"/>
    <w:basedOn w:val="a"/>
    <w:rsid w:val="00851F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51F52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3432</Words>
  <Characters>19565</Characters>
  <Application>Microsoft Office Word</Application>
  <DocSecurity>0</DocSecurity>
  <Lines>163</Lines>
  <Paragraphs>45</Paragraphs>
  <ScaleCrop>false</ScaleCrop>
  <Company/>
  <LinksUpToDate>false</LinksUpToDate>
  <CharactersWithSpaces>22952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2020-05-18T11:25:00Z</dcterms:created>
  <dcterms:modified xsi:type="dcterms:W3CDTF">2020-05-18T11:25:00Z</dcterms:modified>
</cp:coreProperties>
</file>