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8E" w:rsidRPr="00EC4143" w:rsidRDefault="00637D8E" w:rsidP="00637D8E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EC4143">
        <w:rPr>
          <w:rFonts w:ascii="Times New Roman" w:hAnsi="Times New Roman"/>
          <w:b/>
          <w:bCs/>
          <w:sz w:val="30"/>
          <w:szCs w:val="30"/>
        </w:rPr>
        <w:t>ПРОИЗВОДСТВЕННЫЙ ТРАВМАТИЗМ И ОХРАНА ТРУДА</w:t>
      </w:r>
    </w:p>
    <w:p w:rsidR="00637D8E" w:rsidRPr="00973D7E" w:rsidRDefault="00637D8E" w:rsidP="00637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7D8E" w:rsidRPr="005B4EE3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По оперативным данным в январе-марте 2022 года в организациях Могилевской области зарегистрировано 42 несчастных случая на производстве, в том числе 8 со смертельным исходом.</w:t>
      </w:r>
    </w:p>
    <w:p w:rsidR="00637D8E" w:rsidRPr="005B4EE3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3 работника погибли в организациях агропромышленного комплекса. В результате дорожно-транспортных происшествий пострадало 4 работника, в том числе 3 погибли под колесами транспортных средств на территории организаций и 1 получил тяжелые травмы. В числе пострадавших работники организаций строительной отрасли и жилищно-коммунального хозяйства области.</w:t>
      </w:r>
    </w:p>
    <w:p w:rsidR="00637D8E" w:rsidRPr="005B4EE3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 xml:space="preserve">В результате падения при передвижении пострадало 9 работников. В целях предупреждения таких случаев в марте проведена областная акция «Охрана труда – главная составляющая культуры производства». </w:t>
      </w:r>
    </w:p>
    <w:p w:rsidR="00637D8E" w:rsidRPr="005B4EE3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При выполнении строительно-монтажных и ремонтно-строительных работ погибло 2 работника и 2 получили тяжелые травмы, при проведении шиномонтажных работ 1 работник погиб и 3 тяжело травмированы. В первом квартале 2022 года подготовлены информационные письма «О производстве ремонтно-строительных работ» и «О безопасном производстве шиномонтажных работ», которые в дальнейшем должны быть доведены до сведения организаций и всех работников, привлекаемых к таким работам.</w:t>
      </w:r>
    </w:p>
    <w:p w:rsidR="00637D8E" w:rsidRPr="005B4EE3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B4EE3">
        <w:rPr>
          <w:rFonts w:ascii="Times New Roman" w:hAnsi="Times New Roman"/>
          <w:bCs/>
          <w:sz w:val="30"/>
          <w:szCs w:val="30"/>
        </w:rPr>
        <w:t>В январе-марте 2022 года тяжелые травмы получили 2 работника, выполнявшие лесосечные работы, и 2, выполнявшие работы по деревообработке. В этой связи в мае 2022 года запланировано проведение 3 практических семинаров на базе ГЛХУ «Белыничский лесхоз», ГОЛХУ «Осиповичский опытный лесхоз» и ГЛХУ «Краснопольский лесхоз» с руководителями и специалистами организаций, занятых лесосечными работами и работами по деревообработке.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Анализ причин производственного травматизма в январе-марте 2022 года, проведенный на основании завершенных расследований и специальных расследований,  показал, что рост производственного травматизма обусловлен прежде всего низкой трудовой и производственной дисциплиной самих потерпевших, других работников и их личной неосторожностью. Суммарно по этим причинам произошло 71,4 % несчастных случаев. Невыполнение руководителями и специалистами обязанностей, в том числе в части неудовлетворительного содержания территорий организаций и необеспечение потерпевшего средствами индивидуальной защиты, явилось причиной 14,2 % несчастных случаев, 14,4 % случаев  обусловлены иными причинами.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lastRenderedPageBreak/>
        <w:t>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утвержденный решением Могилевского областного исполнительного комитета от 08.12.2021 № 5-241, и Комплекс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2022 год,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27.12.2021 № 7.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Необходимо отметить, что новым подходом к организации профилактики, объединяющим три направления – безопасность, гигиену труда и благополучие работников на всех уровнях производства в настоящее время является концепция нулевого травматизма. 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В целях развития культуры безопасности и гигиены труда, в соответствии с концепцией нулевого травматизма, разработан практический инструмент управления, соблюдение которого может позволить снизить производственный травматизм до минимума.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Семь «золотых правил» концепции: стать лидером – показать приверженность принципам; выявлять угрозы – контролировать риски; определять цели – разрабатывать программы; создать систему безопасности и гигиены труда – достичь высокого уровня организации; обеспечивать безопасность и гигиену труда на рабочих местах при работе со станками и оборудованием; повышать квалификацию – развивать профессиональные навыки; инвестировать в кадры – мотивировать посредством участия.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Кроме того, созданию в каждой организации здоровых и безопасных условий труда будет способствовать следующее.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1. Выделение нанимателями необходимых финансовых средств на реализацию мероприятий по охране труда.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2. Надлежащее исполнение специалистами по охране труда своих должностных обязанностей.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3. Создание на паритетной основе с профсоюзами комиссий по охране труда, которые осуществляют проведение проверок на рабочих местах и информирование работников об их результатах, а также принимают участие в разработке систем управления охраной труда, коллективных договоров. 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 xml:space="preserve">4. Проведение контроля за соблюдением законодательства об охране труда, в том числе Дней охраны труда, руководителями </w:t>
      </w:r>
      <w:r w:rsidRPr="001A53AE">
        <w:rPr>
          <w:rFonts w:ascii="Times New Roman" w:hAnsi="Times New Roman"/>
          <w:bCs/>
          <w:sz w:val="30"/>
          <w:szCs w:val="30"/>
        </w:rPr>
        <w:lastRenderedPageBreak/>
        <w:t>организаций  и структурных подразделений с участием представителей профсоюзов, общественных инспекторов по охране труда, специалистов по охране труда.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5. Персональный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нормативными правовыми актами ответственности нарушителей.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6. Анализ эффективности функционирования систем управления охраной труда и их корректировка.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7.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8. Обеспечение системного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9.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10. Эксплуатация производственных зданий и сооружений в соответствии с требованиями технических нормативных правовых актов.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11. Обеспечение работников средствами индивидуальной защиты в соответствии с установленными нормами.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A53AE">
        <w:rPr>
          <w:rFonts w:ascii="Times New Roman" w:hAnsi="Times New Roman"/>
          <w:bCs/>
          <w:sz w:val="30"/>
          <w:szCs w:val="30"/>
        </w:rPr>
        <w:t>12. Организация и проведение с работающими обучения,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637D8E" w:rsidRPr="001A53AE" w:rsidRDefault="00637D8E" w:rsidP="00637D8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637D8E" w:rsidRPr="00973D7E" w:rsidRDefault="00637D8E" w:rsidP="00637D8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  <w:r w:rsidRPr="00973D7E">
        <w:rPr>
          <w:rFonts w:ascii="Times New Roman" w:hAnsi="Times New Roman"/>
          <w:i/>
          <w:iCs/>
          <w:sz w:val="28"/>
          <w:szCs w:val="28"/>
        </w:rPr>
        <w:t>Материалы подготовлены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4EE3">
        <w:rPr>
          <w:rFonts w:ascii="Times New Roman" w:hAnsi="Times New Roman"/>
          <w:i/>
          <w:iCs/>
          <w:sz w:val="28"/>
          <w:szCs w:val="28"/>
        </w:rPr>
        <w:t>Могилевск</w:t>
      </w:r>
      <w:r>
        <w:rPr>
          <w:rFonts w:ascii="Times New Roman" w:hAnsi="Times New Roman"/>
          <w:i/>
          <w:iCs/>
          <w:sz w:val="28"/>
          <w:szCs w:val="28"/>
        </w:rPr>
        <w:t>им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областн</w:t>
      </w:r>
      <w:r>
        <w:rPr>
          <w:rFonts w:ascii="Times New Roman" w:hAnsi="Times New Roman"/>
          <w:i/>
          <w:iCs/>
          <w:sz w:val="28"/>
          <w:szCs w:val="28"/>
        </w:rPr>
        <w:t>ым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управление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 w:rsidRPr="005B4EE3">
        <w:rPr>
          <w:rFonts w:ascii="Times New Roman" w:hAnsi="Times New Roman"/>
          <w:i/>
          <w:iCs/>
          <w:sz w:val="28"/>
          <w:szCs w:val="28"/>
        </w:rPr>
        <w:t xml:space="preserve"> Департамента государственной инспекции труда Министерства труда и социальной защиты Республики Беларусь</w:t>
      </w:r>
    </w:p>
    <w:p w:rsidR="00637D8E" w:rsidRPr="00973D7E" w:rsidRDefault="00637D8E" w:rsidP="00637D8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F4076B" w:rsidRDefault="00F4076B"/>
    <w:sectPr w:rsidR="00F4076B" w:rsidSect="00F4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37D8E"/>
    <w:rsid w:val="00637D8E"/>
    <w:rsid w:val="00F4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2022-04-19T06:14:00Z</dcterms:created>
  <dcterms:modified xsi:type="dcterms:W3CDTF">2022-04-19T06:14:00Z</dcterms:modified>
</cp:coreProperties>
</file>